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青海省交通运输厅安全生产</w:t>
      </w:r>
      <w:bookmarkStart w:id="0" w:name="OLE_LINK2"/>
      <w:r>
        <w:rPr>
          <w:rFonts w:hint="eastAsia" w:ascii="方正小标宋简体" w:hAnsi="方正小标宋简体" w:eastAsia="方正小标宋简体" w:cs="方正小标宋简体"/>
          <w:b/>
          <w:bCs/>
          <w:sz w:val="44"/>
          <w:szCs w:val="44"/>
          <w:lang w:val="en-US" w:eastAsia="zh-CN"/>
        </w:rPr>
        <w:t>警示约谈</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和挂牌督办办法</w:t>
      </w:r>
      <w:bookmarkEnd w:id="0"/>
      <w:r>
        <w:rPr>
          <w:rFonts w:hint="eastAsia" w:ascii="方正小标宋简体" w:hAnsi="方正小标宋简体" w:eastAsia="方正小标宋简体" w:cs="方正小标宋简体"/>
          <w:b/>
          <w:bCs/>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625" w:beforeLines="200" w:beforeAutospacing="0" w:after="313" w:afterLines="100" w:afterAutospacing="0" w:line="596" w:lineRule="exact"/>
        <w:ind w:right="0" w:rightChars="0"/>
        <w:jc w:val="center"/>
        <w:textAlignment w:val="auto"/>
        <w:outlineLvl w:val="9"/>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第一章  总</w:t>
      </w:r>
      <w:r>
        <w:rPr>
          <w:rFonts w:hint="eastAsia" w:eastAsia="黑体" w:cs="Times New Roman"/>
          <w:b w:val="0"/>
          <w:bCs w:val="0"/>
          <w:color w:val="auto"/>
          <w:kern w:val="2"/>
          <w:sz w:val="32"/>
          <w:szCs w:val="32"/>
          <w:lang w:val="en-US" w:eastAsia="zh-CN"/>
        </w:rPr>
        <w:t xml:space="preserve">  </w:t>
      </w:r>
      <w:r>
        <w:rPr>
          <w:rFonts w:hint="default" w:ascii="Times New Roman" w:hAnsi="Times New Roman" w:eastAsia="黑体" w:cs="Times New Roman"/>
          <w:b w:val="0"/>
          <w:bCs w:val="0"/>
          <w:color w:val="auto"/>
          <w:kern w:val="2"/>
          <w:sz w:val="32"/>
          <w:szCs w:val="32"/>
          <w:lang w:val="en-US" w:eastAsia="zh-CN"/>
        </w:rPr>
        <w:t>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为</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认真贯彻落实习近平总书记关于安全生产的重要指示批示精神，</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进一步促进我省交通运输安全生产工作，强化责任落实</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和事故教训汲取</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，防范化解安全生产风险，有效预防和减少交通运输生产安全事故（以下简称事故），</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依据</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《中华人民共和国安全生产法》和《中共中央</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国务院关于推进安全生产领域改革发展的意见》（中发〔2016〕32号）《交通运输</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部</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安全生产警示约谈和挂牌督办办法》（交安监规〔202</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号）等有关规定，结合我省交通运输行业实际，制定本</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办法</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yellow"/>
          <w:shd w:val="clear" w:color="auto" w:fill="FFFFFF"/>
          <w:lang w:val="en-US" w:eastAsia="zh-CN" w:bidi="ar"/>
        </w:rPr>
      </w:pPr>
      <w:bookmarkStart w:id="1" w:name="OLE_LINK1"/>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bookmarkEnd w:id="1"/>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本</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办法</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适用于</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省交通运输厅对全省公路、水运行业开展</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安全生产警示、约谈和挂牌督办工作。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本办法所称警示，是指</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省交通运输厅以通报或提示函提醒行业或有关单位安全生产事故情况和有关问题，提示防范重点或需注意事项，提出防范改进的工作要求</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本办法所称约谈，是指</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省交通运输厅对安全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生产管理不力的</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市州</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级交通运输</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局，厅属相关单位，省厅负责直接监管的公路水运工程建设项目（以下统称市州级</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交通运输</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相关单位），以及交通运输相关企业等的主要负责人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就安全生产有关问题进行提醒、告诫，督促整改的</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谈话。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本办法所称挂牌督办，是指</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省交通运输厅</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督促</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安全生产管理不力的市州级交通运输相关单位或交通运输相关企业</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履行安全生产职责，对</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暴露的问题或不足进行整治</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交通运输安全生产警示、约谈和挂牌督办，不替代或从轻减轻政务处分、行政处罚。</w:t>
      </w:r>
    </w:p>
    <w:p>
      <w:pPr>
        <w:keepNext w:val="0"/>
        <w:keepLines w:val="0"/>
        <w:pageBreakBefore w:val="0"/>
        <w:widowControl w:val="0"/>
        <w:kinsoku/>
        <w:wordWrap/>
        <w:overflowPunct/>
        <w:topLinePunct w:val="0"/>
        <w:autoSpaceDE/>
        <w:autoSpaceDN/>
        <w:bidi w:val="0"/>
        <w:adjustRightInd/>
        <w:snapToGrid/>
        <w:spacing w:before="625" w:beforeLines="200" w:beforeAutospacing="0" w:after="313" w:afterLines="100" w:afterAutospacing="0" w:line="596" w:lineRule="exact"/>
        <w:ind w:right="0" w:rightChars="0"/>
        <w:jc w:val="center"/>
        <w:textAlignment w:val="auto"/>
        <w:outlineLvl w:val="9"/>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第</w:t>
      </w:r>
      <w:r>
        <w:rPr>
          <w:rFonts w:hint="eastAsia" w:eastAsia="黑体" w:cs="Times New Roman"/>
          <w:b w:val="0"/>
          <w:bCs w:val="0"/>
          <w:color w:val="auto"/>
          <w:kern w:val="2"/>
          <w:sz w:val="32"/>
          <w:szCs w:val="32"/>
          <w:lang w:val="en-US" w:eastAsia="zh-CN"/>
        </w:rPr>
        <w:t>二</w:t>
      </w:r>
      <w:r>
        <w:rPr>
          <w:rFonts w:hint="default" w:ascii="Times New Roman" w:hAnsi="Times New Roman" w:eastAsia="黑体" w:cs="Times New Roman"/>
          <w:b w:val="0"/>
          <w:bCs w:val="0"/>
          <w:color w:val="auto"/>
          <w:kern w:val="2"/>
          <w:sz w:val="32"/>
          <w:szCs w:val="32"/>
          <w:lang w:val="en-US" w:eastAsia="zh-CN"/>
        </w:rPr>
        <w:t xml:space="preserve">章  </w:t>
      </w:r>
      <w:r>
        <w:rPr>
          <w:rFonts w:hint="eastAsia" w:eastAsia="黑体" w:cs="Times New Roman"/>
          <w:b w:val="0"/>
          <w:bCs w:val="0"/>
          <w:color w:val="auto"/>
          <w:kern w:val="2"/>
          <w:sz w:val="32"/>
          <w:szCs w:val="32"/>
          <w:lang w:val="en-US" w:eastAsia="zh-CN"/>
        </w:rPr>
        <w:t>警  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四</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有下列情形之一的，省交通运输厅</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在全行业予以警示通报：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）发生</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较大及以上事故的</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bookmarkStart w:id="2" w:name="_GoBack"/>
      <w:bookmarkEnd w:id="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发生影响恶劣的一般事故、安全生产重大险情或突发事件的</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三</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highlight w:val="none"/>
          <w:shd w:val="clear" w:color="auto" w:fill="FFFFFF"/>
          <w:lang w:val="en-US" w:eastAsia="zh-CN" w:bidi="ar"/>
        </w:rPr>
        <w:t>连续发生事故或经研判安全生产苗头性、趋势性问题突出，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安全</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生产形势严峻的；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四</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）其他需要警示</w:t>
      </w:r>
      <w:r>
        <w:rPr>
          <w:rFonts w:hint="eastAsia" w:ascii="仿宋_GB2312" w:hAnsi="仿宋_GB2312" w:cs="仿宋_GB2312"/>
          <w:b w:val="0"/>
          <w:bCs w:val="0"/>
          <w:i w:val="0"/>
          <w:iCs w:val="0"/>
          <w:caps w:val="0"/>
          <w:color w:val="auto"/>
          <w:spacing w:val="0"/>
          <w:kern w:val="0"/>
          <w:sz w:val="32"/>
          <w:szCs w:val="32"/>
          <w:shd w:val="clear" w:color="auto" w:fill="FFFFFF"/>
          <w:lang w:val="en-US" w:eastAsia="zh-CN" w:bidi="ar"/>
        </w:rPr>
        <w:t>通报</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的情形。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警示通报内容包括基本情况、存在问题、有关工作要求等。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对于发生影响特别恶劣事故的或连续发生事故的省属交通运输相关企业，将发送安全生产工作提示函，视情通报省国有资产监督管理机构。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警示通报和提示函由省交通运输厅相关处室（以下简称厅相关处室）按照道路运输、干线公路、农村公路、工程建设、水路运输领域负责起草，涉及多领域的由省交通运输厅安全生产委员会办公室（以下简称厅安委办）牵头起草，按程序报批后印发。</w:t>
      </w:r>
    </w:p>
    <w:p>
      <w:pPr>
        <w:keepNext w:val="0"/>
        <w:keepLines w:val="0"/>
        <w:pageBreakBefore w:val="0"/>
        <w:widowControl w:val="0"/>
        <w:kinsoku/>
        <w:wordWrap/>
        <w:overflowPunct/>
        <w:topLinePunct w:val="0"/>
        <w:autoSpaceDE/>
        <w:autoSpaceDN/>
        <w:bidi w:val="0"/>
        <w:adjustRightInd/>
        <w:snapToGrid/>
        <w:spacing w:before="625" w:beforeLines="200" w:beforeAutospacing="0" w:after="313" w:afterLines="100" w:afterAutospacing="0" w:line="596" w:lineRule="exact"/>
        <w:ind w:right="0" w:rightChars="0"/>
        <w:jc w:val="center"/>
        <w:textAlignment w:val="auto"/>
        <w:outlineLvl w:val="9"/>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第</w:t>
      </w:r>
      <w:r>
        <w:rPr>
          <w:rFonts w:hint="eastAsia" w:eastAsia="黑体" w:cs="Times New Roman"/>
          <w:b w:val="0"/>
          <w:bCs w:val="0"/>
          <w:color w:val="auto"/>
          <w:kern w:val="2"/>
          <w:sz w:val="32"/>
          <w:szCs w:val="32"/>
          <w:lang w:val="en-US" w:eastAsia="zh-CN"/>
        </w:rPr>
        <w:t>三</w:t>
      </w:r>
      <w:r>
        <w:rPr>
          <w:rFonts w:hint="default" w:ascii="Times New Roman" w:hAnsi="Times New Roman" w:eastAsia="黑体" w:cs="Times New Roman"/>
          <w:b w:val="0"/>
          <w:bCs w:val="0"/>
          <w:color w:val="auto"/>
          <w:kern w:val="2"/>
          <w:sz w:val="32"/>
          <w:szCs w:val="32"/>
          <w:lang w:val="en-US" w:eastAsia="zh-CN"/>
        </w:rPr>
        <w:t xml:space="preserve">章  </w:t>
      </w:r>
      <w:r>
        <w:rPr>
          <w:rFonts w:hint="eastAsia" w:eastAsia="黑体" w:cs="Times New Roman"/>
          <w:b w:val="0"/>
          <w:bCs w:val="0"/>
          <w:color w:val="auto"/>
          <w:kern w:val="2"/>
          <w:sz w:val="32"/>
          <w:szCs w:val="32"/>
          <w:lang w:val="en-US" w:eastAsia="zh-CN"/>
        </w:rPr>
        <w:t>约  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有下列情形之一的，由省交通运输厅对</w:t>
      </w:r>
      <w:r>
        <w:rPr>
          <w:rFonts w:hint="eastAsia" w:ascii="仿宋_GB2312" w:hAnsi="仿宋_GB2312" w:cs="仿宋_GB2312"/>
          <w:i w:val="0"/>
          <w:iCs w:val="0"/>
          <w:caps w:val="0"/>
          <w:color w:val="auto"/>
          <w:spacing w:val="0"/>
          <w:kern w:val="0"/>
          <w:sz w:val="32"/>
          <w:szCs w:val="32"/>
          <w:shd w:val="clear" w:color="auto" w:fill="FFFFFF"/>
          <w:lang w:val="en-US" w:eastAsia="zh-CN" w:bidi="ar"/>
        </w:rPr>
        <w:t>市州级</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交通运输</w:t>
      </w:r>
      <w:r>
        <w:rPr>
          <w:rFonts w:hint="eastAsia" w:ascii="仿宋_GB2312" w:hAnsi="仿宋_GB2312" w:cs="仿宋_GB2312"/>
          <w:i w:val="0"/>
          <w:iCs w:val="0"/>
          <w:caps w:val="0"/>
          <w:color w:val="auto"/>
          <w:spacing w:val="0"/>
          <w:kern w:val="0"/>
          <w:sz w:val="32"/>
          <w:szCs w:val="32"/>
          <w:shd w:val="clear" w:color="auto" w:fill="FFFFFF"/>
          <w:lang w:val="en-US" w:eastAsia="zh-CN" w:bidi="ar"/>
        </w:rPr>
        <w:t>相关单位</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或交通运输</w:t>
      </w:r>
      <w:r>
        <w:rPr>
          <w:rFonts w:hint="eastAsia" w:ascii="仿宋_GB2312" w:hAnsi="仿宋_GB2312" w:cs="仿宋_GB2312"/>
          <w:i w:val="0"/>
          <w:iCs w:val="0"/>
          <w:caps w:val="0"/>
          <w:color w:val="auto"/>
          <w:spacing w:val="0"/>
          <w:kern w:val="0"/>
          <w:sz w:val="32"/>
          <w:szCs w:val="32"/>
          <w:shd w:val="clear" w:color="auto" w:fill="FFFFFF"/>
          <w:lang w:val="en-US" w:eastAsia="zh-CN" w:bidi="ar"/>
        </w:rPr>
        <w:t>相关企业</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主要负责人</w:t>
      </w:r>
      <w:r>
        <w:rPr>
          <w:rFonts w:hint="eastAsia" w:ascii="仿宋_GB2312" w:hAnsi="仿宋_GB2312" w:cs="仿宋_GB2312"/>
          <w:i w:val="0"/>
          <w:iCs w:val="0"/>
          <w:caps w:val="0"/>
          <w:color w:val="auto"/>
          <w:spacing w:val="0"/>
          <w:kern w:val="0"/>
          <w:sz w:val="32"/>
          <w:szCs w:val="32"/>
          <w:shd w:val="clear" w:color="auto" w:fill="FFFFFF"/>
          <w:lang w:val="en-US" w:eastAsia="zh-CN" w:bidi="ar"/>
        </w:rPr>
        <w:t>进行</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约谈：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（一）落实国家和省安全生产重大决策部署不力，造成严重影响或后果的；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（二）发生较大及以上涉险事故，造成重大社会影响的；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（三）连续发生多起一般事故、安全生产重大险情或突发事件的；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（四）安全生产重大风险隐患排查整治中，组织不认真、排查整改不到位的；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（五）市州级交通运输相关单位安全监管职责不明确或安全生产监管体制不健全，导致安全监管责任不清、相互推诿的；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（六）其他需要约谈的情形。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九</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cs="Times New Roman"/>
          <w:color w:val="auto"/>
          <w:sz w:val="32"/>
          <w:szCs w:val="32"/>
          <w:lang w:eastAsia="zh-CN"/>
        </w:rPr>
        <w:t>省交通运输厅书面通知被约谈单位，告知约谈事项、约谈时间、约谈地点和约谈要求。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cs="Times New Roman"/>
          <w:color w:val="auto"/>
          <w:sz w:val="32"/>
          <w:szCs w:val="32"/>
          <w:lang w:eastAsia="zh-CN"/>
        </w:rPr>
      </w:pPr>
      <w:r>
        <w:rPr>
          <w:rFonts w:hint="eastAsia" w:cs="Times New Roman"/>
          <w:color w:val="auto"/>
          <w:sz w:val="32"/>
          <w:szCs w:val="32"/>
          <w:lang w:eastAsia="zh-CN"/>
        </w:rPr>
        <w:t>厅相关处室提出约谈建议，报分管厅领导批准后印发通知。约谈由厅领导或授权厅相关处室负责同志主持，厅机关相关处室按照道路运输、公路运营养护、农村公路、工程建设、水路运输领域负责承办，厅安委办参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被约谈单位收到约谈通知后，应当准备书面约谈材料，包括基本情况、原因分析、教训汲取、整改措施、完成时限等内容。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十一</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根据工作需要，约谈可邀请厅新媒体中心、新闻媒体列席，原则上应向社会公开约谈情况，接受社会监督。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厅相关处室形成约谈纪要后印发被约谈单位，并抄送厅安委办。</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cs="Times New Roman"/>
          <w:color w:val="auto"/>
          <w:sz w:val="32"/>
          <w:szCs w:val="32"/>
          <w:lang w:eastAsia="zh-CN"/>
        </w:rPr>
      </w:pPr>
      <w:r>
        <w:rPr>
          <w:rFonts w:hint="eastAsia" w:cs="Times New Roman"/>
          <w:color w:val="auto"/>
          <w:sz w:val="32"/>
          <w:szCs w:val="32"/>
          <w:lang w:eastAsia="zh-CN"/>
        </w:rPr>
        <w:t>被约谈单位应按照约谈纪要的要求完成问题整改，并将整改情况书面报厅主管处室，抄送厅安委办。</w:t>
      </w:r>
    </w:p>
    <w:p>
      <w:pPr>
        <w:keepNext w:val="0"/>
        <w:keepLines w:val="0"/>
        <w:pageBreakBefore w:val="0"/>
        <w:widowControl w:val="0"/>
        <w:kinsoku/>
        <w:wordWrap/>
        <w:overflowPunct/>
        <w:topLinePunct w:val="0"/>
        <w:autoSpaceDE/>
        <w:autoSpaceDN/>
        <w:bidi w:val="0"/>
        <w:adjustRightInd/>
        <w:snapToGrid/>
        <w:spacing w:before="625" w:beforeLines="200" w:beforeAutospacing="0" w:after="313" w:afterLines="100" w:afterAutospacing="0" w:line="596" w:lineRule="exact"/>
        <w:ind w:right="0" w:rightChars="0"/>
        <w:jc w:val="center"/>
        <w:textAlignment w:val="auto"/>
        <w:outlineLvl w:val="9"/>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第</w:t>
      </w:r>
      <w:r>
        <w:rPr>
          <w:rFonts w:hint="eastAsia" w:eastAsia="黑体" w:cs="Times New Roman"/>
          <w:b w:val="0"/>
          <w:bCs w:val="0"/>
          <w:color w:val="auto"/>
          <w:kern w:val="2"/>
          <w:sz w:val="32"/>
          <w:szCs w:val="32"/>
          <w:lang w:val="en-US" w:eastAsia="zh-CN"/>
        </w:rPr>
        <w:t>四</w:t>
      </w:r>
      <w:r>
        <w:rPr>
          <w:rFonts w:hint="default" w:ascii="Times New Roman" w:hAnsi="Times New Roman" w:eastAsia="黑体" w:cs="Times New Roman"/>
          <w:b w:val="0"/>
          <w:bCs w:val="0"/>
          <w:color w:val="auto"/>
          <w:kern w:val="2"/>
          <w:sz w:val="32"/>
          <w:szCs w:val="32"/>
          <w:lang w:val="en-US" w:eastAsia="zh-CN"/>
        </w:rPr>
        <w:t xml:space="preserve">章  </w:t>
      </w:r>
      <w:r>
        <w:rPr>
          <w:rFonts w:hint="eastAsia" w:eastAsia="黑体" w:cs="Times New Roman"/>
          <w:b w:val="0"/>
          <w:bCs w:val="0"/>
          <w:color w:val="auto"/>
          <w:kern w:val="2"/>
          <w:sz w:val="32"/>
          <w:szCs w:val="32"/>
          <w:lang w:val="en-US" w:eastAsia="zh-CN"/>
        </w:rPr>
        <w:t>挂牌督办</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Fonts w:hint="eastAsia" w:ascii="Times New Roman" w:hAnsi="Times New Roman" w:eastAsia="黑体" w:cs="Times New Roman"/>
          <w:i w:val="0"/>
          <w:iCs w:val="0"/>
          <w:caps w:val="0"/>
          <w:color w:val="151515"/>
          <w:spacing w:val="0"/>
          <w:sz w:val="32"/>
          <w:szCs w:val="32"/>
          <w:lang w:val="en-US" w:eastAsia="zh-CN" w:bidi="ar-SA"/>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有下列情形之一的，由省交通运输厅</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实行</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挂牌督办：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一</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警示、约谈提出需限期完成整改、举一反三开展专项整治的</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二</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事故险情造成较大社会舆情，问题整改任务重、难度大的</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三</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发生性质恶劣事故的</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w:t>
      </w:r>
      <w:r>
        <w:rPr>
          <w:rFonts w:hint="eastAsia" w:ascii="仿宋_GB2312" w:hAnsi="仿宋_GB2312" w:cs="仿宋_GB2312"/>
          <w:b w:val="0"/>
          <w:bCs w:val="0"/>
          <w:i w:val="0"/>
          <w:caps w:val="0"/>
          <w:strike w:val="0"/>
          <w:dstrike w:val="0"/>
          <w:color w:val="auto"/>
          <w:spacing w:val="0"/>
          <w:kern w:val="0"/>
          <w:sz w:val="32"/>
          <w:szCs w:val="32"/>
          <w:highlight w:val="none"/>
          <w:lang w:val="en-US" w:eastAsia="zh-CN" w:bidi="ar"/>
        </w:rPr>
        <w:t>四</w:t>
      </w:r>
      <w:r>
        <w:rPr>
          <w:rFonts w:hint="eastAsia" w:ascii="仿宋_GB2312" w:hAnsi="仿宋_GB2312" w:eastAsia="仿宋_GB2312" w:cs="仿宋_GB2312"/>
          <w:b w:val="0"/>
          <w:bCs w:val="0"/>
          <w:i w:val="0"/>
          <w:caps w:val="0"/>
          <w:strike w:val="0"/>
          <w:dstrike w:val="0"/>
          <w:color w:val="auto"/>
          <w:spacing w:val="0"/>
          <w:kern w:val="0"/>
          <w:sz w:val="32"/>
          <w:szCs w:val="32"/>
          <w:highlight w:val="none"/>
          <w:lang w:val="en-US" w:eastAsia="zh-CN" w:bidi="ar"/>
        </w:rPr>
        <w:t>）其他需要挂牌督办的情形。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十四</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符合上述情形的，省交通运输厅及时实行挂牌督办，被挂牌督办单位负责落实相关工作要求。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jc w:val="both"/>
        <w:textAlignment w:val="auto"/>
        <w:outlineLvl w:val="9"/>
        <w:rPr>
          <w:rFonts w:hint="eastAsia" w:ascii="仿宋_GB2312" w:hAnsi="Times New Roman" w:cs="仿宋_GB2312"/>
          <w:b w:val="0"/>
          <w:bCs w:val="0"/>
          <w:i w:val="0"/>
          <w:caps w:val="0"/>
          <w:strike w:val="0"/>
          <w:dstrike w:val="0"/>
          <w:color w:val="auto"/>
          <w:spacing w:val="0"/>
          <w:kern w:val="0"/>
          <w:sz w:val="32"/>
          <w:szCs w:val="32"/>
          <w:highlight w:val="none"/>
          <w:lang w:val="en-US" w:eastAsia="zh-CN" w:bidi="ar"/>
        </w:rPr>
      </w:pPr>
      <w:r>
        <w:rPr>
          <w:rFonts w:hint="eastAsia" w:cs="Times New Roman"/>
          <w:color w:val="auto"/>
          <w:sz w:val="32"/>
          <w:szCs w:val="32"/>
          <w:lang w:eastAsia="zh-CN"/>
        </w:rPr>
        <w:t>厅相关处室按照道路运输、公路运营养护、农村公路、工程建设、水路运输领域负责挂牌督办的提出和核销工作，经分管厅领导批准后印发挂牌督办和核销通知。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挂牌督办通知内容包括督办事项、整改要求、整改时限、挂牌周期等。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eastAsia="zh-CN"/>
        </w:rPr>
        <w:t>被挂牌督办单位应及时制定和完善整改方案，在收到挂牌督办通知起 30 日内报厅主管处室，并抄送厅安委办。整改方案应包括目标任务、责任部门（人）、整改措施和时间安排等内容。被挂牌单位每月至少报送一次工作开展情况，直至摘牌核销。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w:t>
      </w:r>
      <w:r>
        <w:rPr>
          <w:rFonts w:hint="eastAsia" w:cs="Times New Roman"/>
          <w:color w:val="auto"/>
          <w:sz w:val="32"/>
          <w:szCs w:val="32"/>
          <w:lang w:val="en-US" w:eastAsia="zh-CN"/>
        </w:rPr>
        <w:t xml:space="preserve">被挂牌督办单位按照要求完成整改后，应将整改情况进行公示，公示不少于 </w:t>
      </w:r>
      <w:r>
        <w:rPr>
          <w:rFonts w:hint="default" w:cs="Times New Roman"/>
          <w:color w:val="auto"/>
          <w:sz w:val="32"/>
          <w:szCs w:val="32"/>
          <w:lang w:val="en-US" w:eastAsia="zh-CN"/>
        </w:rPr>
        <w:t xml:space="preserve">5 </w:t>
      </w:r>
      <w:r>
        <w:rPr>
          <w:rFonts w:hint="eastAsia" w:cs="Times New Roman"/>
          <w:color w:val="auto"/>
          <w:sz w:val="32"/>
          <w:szCs w:val="32"/>
          <w:lang w:val="en-US" w:eastAsia="zh-CN"/>
        </w:rPr>
        <w:t xml:space="preserve">个工作日。公示无异议的，经单位主要负责人审批后，报厅主管处室，提出核销申请。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十八</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cs="Times New Roman"/>
          <w:color w:val="auto"/>
          <w:sz w:val="32"/>
          <w:szCs w:val="32"/>
          <w:lang w:val="en-US" w:eastAsia="zh-CN"/>
        </w:rPr>
        <w:t xml:space="preserve"> 厅相关处室收到核销申请后，对督办事项的落实情况进行评估核实，提出核销意见报分管厅领导。分管厅领导同意核销的，印发核销通知，并抄送厅安委办；不同意核销的，告知理由，并责令继续整改。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十九</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cs="Times New Roman"/>
          <w:color w:val="auto"/>
          <w:sz w:val="32"/>
          <w:szCs w:val="32"/>
          <w:lang w:val="en-US" w:eastAsia="zh-CN"/>
        </w:rPr>
        <w:t xml:space="preserve"> 被挂牌督办单位未在规定时限内完成整改的，应当说明原因，制定安全生产防范措施，并报厅主管处室，抄送厅安委办。</w:t>
      </w:r>
    </w:p>
    <w:p>
      <w:pPr>
        <w:keepNext w:val="0"/>
        <w:keepLines w:val="0"/>
        <w:pageBreakBefore w:val="0"/>
        <w:widowControl w:val="0"/>
        <w:kinsoku/>
        <w:wordWrap/>
        <w:overflowPunct/>
        <w:topLinePunct w:val="0"/>
        <w:autoSpaceDE/>
        <w:autoSpaceDN/>
        <w:bidi w:val="0"/>
        <w:adjustRightInd/>
        <w:snapToGrid/>
        <w:spacing w:before="625" w:beforeLines="200" w:beforeAutospacing="0" w:after="313" w:afterLines="100" w:afterAutospacing="0" w:line="596" w:lineRule="exact"/>
        <w:ind w:right="0" w:rightChars="0"/>
        <w:jc w:val="center"/>
        <w:textAlignment w:val="auto"/>
        <w:outlineLvl w:val="9"/>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第</w:t>
      </w:r>
      <w:r>
        <w:rPr>
          <w:rFonts w:hint="eastAsia" w:eastAsia="黑体" w:cs="Times New Roman"/>
          <w:b w:val="0"/>
          <w:bCs w:val="0"/>
          <w:color w:val="auto"/>
          <w:kern w:val="2"/>
          <w:sz w:val="32"/>
          <w:szCs w:val="32"/>
          <w:lang w:val="en-US" w:eastAsia="zh-CN"/>
        </w:rPr>
        <w:t>五</w:t>
      </w:r>
      <w:r>
        <w:rPr>
          <w:rFonts w:hint="default" w:ascii="Times New Roman" w:hAnsi="Times New Roman" w:eastAsia="黑体" w:cs="Times New Roman"/>
          <w:b w:val="0"/>
          <w:bCs w:val="0"/>
          <w:color w:val="auto"/>
          <w:kern w:val="2"/>
          <w:sz w:val="32"/>
          <w:szCs w:val="32"/>
          <w:lang w:val="en-US" w:eastAsia="zh-CN"/>
        </w:rPr>
        <w:t xml:space="preserve">章  </w:t>
      </w:r>
      <w:r>
        <w:rPr>
          <w:rFonts w:hint="eastAsia" w:eastAsia="黑体" w:cs="Times New Roman"/>
          <w:b w:val="0"/>
          <w:bCs w:val="0"/>
          <w:color w:val="auto"/>
          <w:kern w:val="2"/>
          <w:sz w:val="32"/>
          <w:szCs w:val="32"/>
          <w:lang w:val="en-US" w:eastAsia="zh-CN"/>
        </w:rPr>
        <w:t>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二十</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cs="Times New Roman"/>
          <w:color w:val="auto"/>
          <w:sz w:val="32"/>
          <w:szCs w:val="32"/>
          <w:lang w:val="en-US" w:eastAsia="zh-CN"/>
        </w:rPr>
        <w:t xml:space="preserve"> 交通运输行业发生较大及以上事故、相关单位安全生产工作不力等情形，按照规定由省部级安全生产委员会（办公室）进行约谈、挂牌督办的，省厅不再重复开展。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3" w:firstLineChars="200"/>
        <w:jc w:val="both"/>
        <w:textAlignment w:val="auto"/>
        <w:outlineLvl w:val="9"/>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二十一</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t>按照“属地管理、分级负责”和“谁主管、谁负责”的原则，各市</w:t>
      </w:r>
      <w:r>
        <w:rPr>
          <w:rFonts w:hint="eastAsia" w:ascii="仿宋_GB2312" w:hAnsi="仿宋_GB2312" w:cs="仿宋_GB2312"/>
          <w:i w:val="0"/>
          <w:caps w:val="0"/>
          <w:strike w:val="0"/>
          <w:dstrike w:val="0"/>
          <w:color w:val="auto"/>
          <w:spacing w:val="0"/>
          <w:kern w:val="0"/>
          <w:sz w:val="32"/>
          <w:szCs w:val="32"/>
          <w:highlight w:val="none"/>
          <w:lang w:val="en-US" w:eastAsia="zh-CN" w:bidi="ar"/>
        </w:rPr>
        <w:t>州</w:t>
      </w:r>
      <w:r>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t>交通运输</w:t>
      </w:r>
      <w:r>
        <w:rPr>
          <w:rFonts w:hint="eastAsia" w:ascii="仿宋_GB2312" w:hAnsi="仿宋_GB2312" w:cs="仿宋_GB2312"/>
          <w:i w:val="0"/>
          <w:caps w:val="0"/>
          <w:strike w:val="0"/>
          <w:dstrike w:val="0"/>
          <w:color w:val="auto"/>
          <w:spacing w:val="0"/>
          <w:kern w:val="0"/>
          <w:sz w:val="32"/>
          <w:szCs w:val="32"/>
          <w:highlight w:val="none"/>
          <w:lang w:val="en-US" w:eastAsia="zh-CN" w:bidi="ar"/>
        </w:rPr>
        <w:t>相关单位</w:t>
      </w:r>
      <w:r>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t>可参照本</w:t>
      </w:r>
      <w:r>
        <w:rPr>
          <w:rFonts w:hint="eastAsia" w:ascii="仿宋_GB2312" w:hAnsi="仿宋_GB2312" w:cs="仿宋_GB2312"/>
          <w:i w:val="0"/>
          <w:caps w:val="0"/>
          <w:strike w:val="0"/>
          <w:dstrike w:val="0"/>
          <w:color w:val="auto"/>
          <w:spacing w:val="0"/>
          <w:kern w:val="0"/>
          <w:sz w:val="32"/>
          <w:szCs w:val="32"/>
          <w:highlight w:val="none"/>
          <w:lang w:val="en-US" w:eastAsia="zh-CN" w:bidi="ar"/>
        </w:rPr>
        <w:t>办法</w:t>
      </w:r>
      <w:r>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t>，结合本单位、本领域、本地区实际，制定完善安全生产警示、约谈和挂牌督办</w:t>
      </w:r>
      <w:r>
        <w:rPr>
          <w:rFonts w:hint="eastAsia" w:ascii="仿宋_GB2312" w:hAnsi="仿宋_GB2312" w:cs="仿宋_GB2312"/>
          <w:i w:val="0"/>
          <w:caps w:val="0"/>
          <w:strike w:val="0"/>
          <w:dstrike w:val="0"/>
          <w:color w:val="auto"/>
          <w:spacing w:val="0"/>
          <w:kern w:val="0"/>
          <w:sz w:val="32"/>
          <w:szCs w:val="32"/>
          <w:highlight w:val="none"/>
          <w:lang w:val="en-US" w:eastAsia="zh-CN" w:bidi="ar"/>
        </w:rPr>
        <w:t>办法</w:t>
      </w:r>
      <w:r>
        <w:rPr>
          <w:rFonts w:hint="eastAsia" w:ascii="仿宋_GB2312" w:hAnsi="仿宋_GB2312" w:eastAsia="仿宋_GB2312" w:cs="仿宋_GB2312"/>
          <w:i w:val="0"/>
          <w:caps w:val="0"/>
          <w:strike w:val="0"/>
          <w:dstrike w:val="0"/>
          <w:color w:val="auto"/>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textAlignment w:val="auto"/>
        <w:outlineLvl w:val="9"/>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二十二</w:t>
      </w:r>
      <w:r>
        <w:rPr>
          <w:rFonts w:hint="default" w:ascii="Times New Roman" w:hAnsi="Times New Roman" w:eastAsia="仿宋_GB2312" w:cs="Times New Roman"/>
          <w:b/>
          <w:bCs/>
          <w:color w:val="auto"/>
          <w:sz w:val="32"/>
          <w:szCs w:val="32"/>
        </w:rPr>
        <w:t>条</w:t>
      </w:r>
      <w:r>
        <w:rPr>
          <w:rFonts w:hint="eastAsia" w:cs="Times New Roman"/>
          <w:b/>
          <w:bCs/>
          <w:color w:val="auto"/>
          <w:sz w:val="32"/>
          <w:szCs w:val="32"/>
          <w:lang w:val="en-US" w:eastAsia="zh-CN"/>
        </w:rPr>
        <w:t xml:space="preserve">  </w:t>
      </w:r>
      <w:r>
        <w:rPr>
          <w:rFonts w:hint="eastAsia" w:ascii="仿宋_GB2312" w:hAnsi="仿宋_GB2312" w:eastAsia="仿宋_GB2312" w:cs="仿宋_GB2312"/>
          <w:b w:val="0"/>
          <w:bCs w:val="0"/>
          <w:i w:val="0"/>
          <w:caps w:val="0"/>
          <w:strike w:val="0"/>
          <w:dstrike w:val="0"/>
          <w:color w:val="auto"/>
          <w:spacing w:val="0"/>
          <w:kern w:val="0"/>
          <w:sz w:val="32"/>
          <w:szCs w:val="32"/>
          <w:highlight w:val="none"/>
          <w:shd w:val="clear" w:color="auto" w:fill="FFFFFF"/>
          <w:lang w:val="en-US" w:eastAsia="zh-CN" w:bidi="ar"/>
        </w:rPr>
        <w:t>本</w:t>
      </w:r>
      <w:r>
        <w:rPr>
          <w:rFonts w:hint="eastAsia" w:ascii="仿宋_GB2312" w:hAnsi="仿宋_GB2312" w:cs="仿宋_GB2312"/>
          <w:b w:val="0"/>
          <w:bCs w:val="0"/>
          <w:i w:val="0"/>
          <w:caps w:val="0"/>
          <w:strike w:val="0"/>
          <w:dstrike w:val="0"/>
          <w:color w:val="auto"/>
          <w:spacing w:val="0"/>
          <w:kern w:val="0"/>
          <w:sz w:val="32"/>
          <w:szCs w:val="32"/>
          <w:highlight w:val="none"/>
          <w:shd w:val="clear" w:color="auto" w:fill="FFFFFF"/>
          <w:lang w:val="en-US" w:eastAsia="zh-CN" w:bidi="ar"/>
        </w:rPr>
        <w:t>办法</w:t>
      </w:r>
      <w:r>
        <w:rPr>
          <w:rFonts w:hint="default" w:ascii="Times New Roman" w:hAnsi="Times New Roman" w:eastAsia="仿宋_GB2312" w:cs="Times New Roman"/>
          <w:color w:val="auto"/>
          <w:sz w:val="32"/>
          <w:szCs w:val="32"/>
          <w:lang w:val="en-US" w:eastAsia="zh-CN"/>
        </w:rPr>
        <w:t>由省交通运输厅负责解释，自202</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月</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日起实施，有效期至</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月</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日。</w:t>
      </w:r>
      <w:r>
        <w:rPr>
          <w:rFonts w:hint="eastAsia" w:cs="Times New Roman"/>
          <w:color w:val="auto"/>
          <w:sz w:val="32"/>
          <w:szCs w:val="32"/>
          <w:lang w:val="en-US" w:eastAsia="zh-CN"/>
        </w:rPr>
        <w:t>《青海省交通运输厅安全生产约谈办法（试行）的通知》（青交安〔2012〕158号）同时废止。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TU3NzdhYzc5NDIzY2JiYjdmMTA2MTQ1Y2UzYjUifQ=="/>
  </w:docVars>
  <w:rsids>
    <w:rsidRoot w:val="61E40A0A"/>
    <w:rsid w:val="01975638"/>
    <w:rsid w:val="02037F83"/>
    <w:rsid w:val="04367783"/>
    <w:rsid w:val="069761AE"/>
    <w:rsid w:val="0BA03D07"/>
    <w:rsid w:val="10717E4E"/>
    <w:rsid w:val="13436F3F"/>
    <w:rsid w:val="1D2F3FF2"/>
    <w:rsid w:val="206F2CD5"/>
    <w:rsid w:val="23040BE2"/>
    <w:rsid w:val="23B81AA9"/>
    <w:rsid w:val="2C61672E"/>
    <w:rsid w:val="35385E67"/>
    <w:rsid w:val="35847960"/>
    <w:rsid w:val="39A25887"/>
    <w:rsid w:val="3C752729"/>
    <w:rsid w:val="3DE77A6F"/>
    <w:rsid w:val="3E1D4077"/>
    <w:rsid w:val="41CD47B2"/>
    <w:rsid w:val="42084379"/>
    <w:rsid w:val="450A43D7"/>
    <w:rsid w:val="45393520"/>
    <w:rsid w:val="540E2DBF"/>
    <w:rsid w:val="5E37569D"/>
    <w:rsid w:val="5FF21DE4"/>
    <w:rsid w:val="601B1A2C"/>
    <w:rsid w:val="61E40A0A"/>
    <w:rsid w:val="633C3522"/>
    <w:rsid w:val="697B780E"/>
    <w:rsid w:val="718F3A0E"/>
    <w:rsid w:val="79E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afterLines="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3"/>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1"/>
    <w:basedOn w:val="1"/>
    <w:next w:val="1"/>
    <w:qFormat/>
    <w:uiPriority w:val="0"/>
    <w:pPr>
      <w:widowControl/>
      <w:shd w:val="clear" w:color="auto" w:fill="FFFFFF"/>
      <w:spacing w:line="240" w:lineRule="auto"/>
      <w:ind w:firstLine="0" w:firstLineChars="0"/>
    </w:pPr>
    <w:rPr>
      <w:rFonts w:hint="eastAsia" w:ascii="楷体" w:hAnsi="楷体" w:eastAsia="楷体" w:cs="楷体"/>
      <w:color w:val="FF0000"/>
      <w:kern w:val="0"/>
      <w:sz w:val="22"/>
      <w:szCs w:val="28"/>
      <w:shd w:val="clear" w:color="auto" w:fill="FFFFFF"/>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75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2024-10-12T03:31:00Z</dcterms:created>
  <dc:creator>友人A</dc:creator>
  <cp:lastModifiedBy> </cp:lastModifiedBy>
  <cp:lastPrinted>2026-05-08T02:55:00Z</cp:lastPrinted>
  <dcterms:modified xsi:type="dcterms:W3CDTF">2026-05-08T03:52:56Z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85239C9B81354087984A2A472895D318_13</vt:lpwstr>
  </property>
</Properties>
</file>