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A2EB8">
      <w:pPr>
        <w:pStyle w:val="2"/>
        <w:pageBreakBefore w:val="0"/>
        <w:widowControl w:val="0"/>
        <w:kinsoku/>
        <w:wordWrap/>
        <w:overflowPunct/>
        <w:topLinePunct w:val="0"/>
        <w:autoSpaceDE/>
        <w:autoSpaceDN/>
        <w:bidi w:val="0"/>
        <w:spacing w:line="560" w:lineRule="exact"/>
        <w:textAlignment w:val="auto"/>
        <w:rPr>
          <w:rStyle w:val="6"/>
          <w:rFonts w:hint="default"/>
          <w:color w:val="auto"/>
          <w:highlight w:val="none"/>
          <w:lang w:val="en-US" w:eastAsia="zh-CN"/>
        </w:rPr>
      </w:pPr>
      <w:r>
        <w:rPr>
          <w:rStyle w:val="6"/>
          <w:rFonts w:hint="eastAsia"/>
          <w:color w:val="auto"/>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-549275</wp:posOffset>
                </wp:positionV>
                <wp:extent cx="914400" cy="49276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914400" cy="492760"/>
                        </a:xfrm>
                        <a:prstGeom prst="rect">
                          <a:avLst/>
                        </a:prstGeom>
                        <a:solidFill>
                          <a:srgbClr val="FFFFFF">
                            <a:alpha val="0"/>
                          </a:srgbClr>
                        </a:solidFill>
                        <a:ln>
                          <a:noFill/>
                        </a:ln>
                      </wps:spPr>
                      <wps:txbx>
                        <w:txbxContent>
                          <w:p w14:paraId="6BE86131">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p>
                        </w:txbxContent>
                      </wps:txbx>
                      <wps:bodyPr upright="1"/>
                    </wps:wsp>
                  </a:graphicData>
                </a:graphic>
              </wp:anchor>
            </w:drawing>
          </mc:Choice>
          <mc:Fallback>
            <w:pict>
              <v:shape id="_x0000_s1026" o:spid="_x0000_s1026" o:spt="202" type="#_x0000_t202" style="position:absolute;left:0pt;margin-left:-8.45pt;margin-top:-43.25pt;height:38.8pt;width:72pt;z-index:251659264;mso-width-relative:page;mso-height-relative:page;" fillcolor="#FFFFFF" filled="t" stroked="f" coordsize="21600,21600" o:gfxdata="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&#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OqYZD2AAAAAoBAAAPAAAAAAAAAAEAIAAAACIAAABk&#10;cnMvZG93bnJldi54bWxQSwECFAAUAAAACACHTuJAXSMJ/80BAACVAwAADgAAAAAAAAABACAAAAAn&#10;AQAAZHJzL2Uyb0RvYy54bWxQSwUGAAAAAAYABgBZAQAAZgUAAAAA&#10;">
                <v:fill on="t" opacity="0f" focussize="0,0"/>
                <v:stroke on="f"/>
                <v:imagedata o:title=""/>
                <o:lock v:ext="edit" aspectratio="f"/>
                <v:textbox>
                  <w:txbxContent>
                    <w:p w14:paraId="6BE86131">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p>
                  </w:txbxContent>
                </v:textbox>
              </v:shape>
            </w:pict>
          </mc:Fallback>
        </mc:AlternateContent>
      </w:r>
      <w:r>
        <w:rPr>
          <w:rStyle w:val="6"/>
          <w:rFonts w:hint="eastAsia"/>
          <w:color w:val="auto"/>
          <w:highlight w:val="none"/>
          <w:lang w:val="en-US" w:eastAsia="zh-CN"/>
        </w:rPr>
        <w:t>青海省中央生态环境保护督察整改销号</w:t>
      </w:r>
      <w:r>
        <w:rPr>
          <w:rStyle w:val="6"/>
          <w:rFonts w:hint="default"/>
          <w:color w:val="auto"/>
          <w:highlight w:val="none"/>
          <w:lang w:val="en-US" w:eastAsia="zh-CN"/>
        </w:rPr>
        <w:t>公示表</w:t>
      </w:r>
    </w:p>
    <w:tbl>
      <w:tblPr>
        <w:tblStyle w:val="4"/>
        <w:tblW w:w="9071"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247"/>
        <w:gridCol w:w="7824"/>
      </w:tblGrid>
      <w:tr w14:paraId="39883A5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515" w:hRule="atLeast"/>
          <w:jc w:val="center"/>
        </w:trPr>
        <w:tc>
          <w:tcPr>
            <w:tcW w:w="1247" w:type="dxa"/>
            <w:tcBorders>
              <w:tl2br w:val="nil"/>
              <w:tr2bl w:val="nil"/>
            </w:tcBorders>
            <w:noWrap w:val="0"/>
            <w:vAlign w:val="center"/>
          </w:tcPr>
          <w:p w14:paraId="2E733B76">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cs="Times New Roman"/>
                <w:color w:val="auto"/>
                <w:highlight w:val="none"/>
                <w:vertAlign w:val="baseline"/>
                <w:lang w:val="en-US" w:eastAsia="zh-CN"/>
              </w:rPr>
            </w:pPr>
            <w:r>
              <w:rPr>
                <w:rFonts w:hint="default" w:ascii="Times New Roman" w:hAnsi="Times New Roman" w:eastAsia="黑体" w:cs="Times New Roman"/>
                <w:color w:val="auto"/>
                <w:sz w:val="24"/>
                <w:szCs w:val="24"/>
                <w:highlight w:val="none"/>
                <w:lang w:val="en-US" w:eastAsia="zh-CN"/>
              </w:rPr>
              <w:t>整改任务概述</w:t>
            </w:r>
          </w:p>
        </w:tc>
        <w:tc>
          <w:tcPr>
            <w:tcW w:w="7824" w:type="dxa"/>
            <w:tcBorders>
              <w:tl2br w:val="nil"/>
              <w:tr2bl w:val="nil"/>
            </w:tcBorders>
            <w:shd w:val="clear" w:color="auto" w:fill="auto"/>
            <w:noWrap w:val="0"/>
            <w:vAlign w:val="center"/>
          </w:tcPr>
          <w:p w14:paraId="74B20AAD">
            <w:pPr>
              <w:keepNext w:val="0"/>
              <w:keepLines w:val="0"/>
              <w:pageBreakBefore w:val="0"/>
              <w:widowControl w:val="0"/>
              <w:kinsoku/>
              <w:wordWrap/>
              <w:overflowPunct/>
              <w:topLinePunct w:val="0"/>
              <w:autoSpaceDE/>
              <w:autoSpaceDN/>
              <w:bidi w:val="0"/>
              <w:adjustRightInd/>
              <w:snapToGrid w:val="0"/>
              <w:spacing w:line="400" w:lineRule="atLeast"/>
              <w:ind w:right="0" w:rightChars="0"/>
              <w:jc w:val="both"/>
              <w:textAlignment w:val="auto"/>
              <w:outlineLvl w:val="9"/>
              <w:rPr>
                <w:rFonts w:hint="default" w:ascii="仿宋_GB2312" w:hAnsi="仿宋_GB2312" w:eastAsia="仿宋_GB2312" w:cs="仿宋_GB2312"/>
                <w:i w:val="0"/>
                <w:color w:val="000000"/>
                <w:kern w:val="0"/>
                <w:sz w:val="24"/>
                <w:szCs w:val="24"/>
                <w:highlight w:val="none"/>
                <w:u w:val="none"/>
                <w:lang w:val="en-US" w:eastAsia="zh-CN" w:bidi="ar-SA"/>
              </w:rPr>
            </w:pPr>
            <w:bookmarkStart w:id="0" w:name="_GoBack"/>
            <w:bookmarkEnd w:id="0"/>
            <w:r>
              <w:rPr>
                <w:rFonts w:hint="eastAsia" w:ascii="仿宋_GB2312" w:hAnsi="仿宋_GB2312" w:eastAsia="仿宋_GB2312" w:cs="仿宋_GB2312"/>
                <w:b/>
                <w:bCs/>
                <w:i w:val="0"/>
                <w:color w:val="000000"/>
                <w:kern w:val="0"/>
                <w:sz w:val="24"/>
                <w:szCs w:val="24"/>
                <w:highlight w:val="none"/>
                <w:u w:val="none"/>
                <w:lang w:val="en-US" w:eastAsia="zh-CN" w:bidi="ar-SA"/>
              </w:rPr>
              <w:t>第三十二项：</w:t>
            </w:r>
            <w:r>
              <w:rPr>
                <w:rFonts w:hint="eastAsia" w:ascii="仿宋_GB2312" w:hAnsi="仿宋_GB2312" w:eastAsia="仿宋_GB2312" w:cs="仿宋_GB2312"/>
                <w:i w:val="0"/>
                <w:color w:val="000000"/>
                <w:kern w:val="0"/>
                <w:sz w:val="24"/>
                <w:szCs w:val="24"/>
                <w:highlight w:val="none"/>
                <w:u w:val="none"/>
                <w:lang w:val="en-US" w:eastAsia="zh-CN" w:bidi="ar-SA"/>
              </w:rPr>
              <w:t>能耗强度控制不力。青海省2021年至2022年能耗强度不降反升，累计上升6.2%。2023年上半年能耗强度上升1.4%，9月被国家有关部门约谈。</w:t>
            </w:r>
          </w:p>
          <w:p w14:paraId="6553005B">
            <w:pPr>
              <w:keepNext w:val="0"/>
              <w:keepLines w:val="0"/>
              <w:pageBreakBefore w:val="0"/>
              <w:widowControl w:val="0"/>
              <w:kinsoku/>
              <w:wordWrap/>
              <w:overflowPunct/>
              <w:topLinePunct w:val="0"/>
              <w:autoSpaceDE/>
              <w:autoSpaceDN/>
              <w:bidi w:val="0"/>
              <w:adjustRightInd/>
              <w:snapToGrid w:val="0"/>
              <w:spacing w:line="400" w:lineRule="atLeast"/>
              <w:ind w:right="0" w:rightChars="0"/>
              <w:jc w:val="both"/>
              <w:textAlignment w:val="auto"/>
              <w:outlineLvl w:val="9"/>
              <w:rPr>
                <w:rFonts w:hint="eastAsia" w:ascii="仿宋_GB2312" w:hAnsi="仿宋_GB2312" w:eastAsia="仿宋_GB2312" w:cs="仿宋_GB2312"/>
                <w:i w:val="0"/>
                <w:color w:val="000000"/>
                <w:kern w:val="0"/>
                <w:sz w:val="24"/>
                <w:szCs w:val="24"/>
                <w:highlight w:val="none"/>
                <w:u w:val="none"/>
                <w:lang w:val="en-US" w:eastAsia="zh-CN" w:bidi="ar-SA"/>
              </w:rPr>
            </w:pPr>
          </w:p>
        </w:tc>
      </w:tr>
      <w:tr w14:paraId="08B1253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077" w:hRule="atLeast"/>
          <w:jc w:val="center"/>
        </w:trPr>
        <w:tc>
          <w:tcPr>
            <w:tcW w:w="1247" w:type="dxa"/>
            <w:tcBorders>
              <w:tl2br w:val="nil"/>
              <w:tr2bl w:val="nil"/>
            </w:tcBorders>
            <w:noWrap w:val="0"/>
            <w:vAlign w:val="center"/>
          </w:tcPr>
          <w:p w14:paraId="69CF18C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cs="Times New Roman"/>
                <w:color w:val="auto"/>
                <w:highlight w:val="none"/>
                <w:vertAlign w:val="baseline"/>
                <w:lang w:val="en-US" w:eastAsia="zh-CN"/>
              </w:rPr>
            </w:pPr>
            <w:r>
              <w:rPr>
                <w:rFonts w:hint="default" w:ascii="Times New Roman" w:hAnsi="Times New Roman" w:eastAsia="黑体" w:cs="Times New Roman"/>
                <w:color w:val="auto"/>
                <w:sz w:val="24"/>
                <w:szCs w:val="24"/>
                <w:highlight w:val="none"/>
                <w:lang w:val="en-US" w:eastAsia="zh-CN"/>
              </w:rPr>
              <w:t>整改</w:t>
            </w:r>
            <w:r>
              <w:rPr>
                <w:rFonts w:hint="eastAsia" w:ascii="Times New Roman" w:hAnsi="Times New Roman" w:eastAsia="黑体" w:cs="Times New Roman"/>
                <w:color w:val="auto"/>
                <w:sz w:val="24"/>
                <w:szCs w:val="24"/>
                <w:highlight w:val="none"/>
                <w:lang w:val="en-US" w:eastAsia="zh-CN"/>
              </w:rPr>
              <w:t>实施主体</w:t>
            </w:r>
          </w:p>
        </w:tc>
        <w:tc>
          <w:tcPr>
            <w:tcW w:w="7824" w:type="dxa"/>
            <w:tcBorders>
              <w:tl2br w:val="nil"/>
              <w:tr2bl w:val="nil"/>
            </w:tcBorders>
            <w:shd w:val="clear" w:color="auto" w:fill="auto"/>
            <w:noWrap w:val="0"/>
            <w:vAlign w:val="center"/>
          </w:tcPr>
          <w:p w14:paraId="5C303D78">
            <w:pPr>
              <w:keepNext w:val="0"/>
              <w:keepLines w:val="0"/>
              <w:pageBreakBefore w:val="0"/>
              <w:widowControl w:val="0"/>
              <w:kinsoku/>
              <w:wordWrap/>
              <w:overflowPunct/>
              <w:topLinePunct w:val="0"/>
              <w:autoSpaceDE/>
              <w:autoSpaceDN/>
              <w:bidi w:val="0"/>
              <w:adjustRightInd/>
              <w:snapToGrid w:val="0"/>
              <w:spacing w:line="400" w:lineRule="atLeast"/>
              <w:ind w:right="0" w:rightChars="0"/>
              <w:jc w:val="both"/>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bidi="ar-SA"/>
              </w:rPr>
              <w:t>省交通运输厅</w:t>
            </w:r>
          </w:p>
        </w:tc>
      </w:tr>
      <w:tr w14:paraId="64BE555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266" w:hRule="atLeast"/>
          <w:jc w:val="center"/>
        </w:trPr>
        <w:tc>
          <w:tcPr>
            <w:tcW w:w="1247" w:type="dxa"/>
            <w:tcBorders>
              <w:tl2br w:val="nil"/>
              <w:tr2bl w:val="nil"/>
            </w:tcBorders>
            <w:noWrap w:val="0"/>
            <w:vAlign w:val="center"/>
          </w:tcPr>
          <w:p w14:paraId="15A810D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cs="Times New Roman"/>
                <w:color w:val="auto"/>
                <w:highlight w:val="none"/>
                <w:vertAlign w:val="baseline"/>
                <w:lang w:val="en-US" w:eastAsia="zh-CN"/>
              </w:rPr>
            </w:pPr>
            <w:r>
              <w:rPr>
                <w:rFonts w:hint="default" w:ascii="Times New Roman" w:hAnsi="Times New Roman" w:eastAsia="黑体" w:cs="Times New Roman"/>
                <w:color w:val="auto"/>
                <w:sz w:val="24"/>
                <w:szCs w:val="24"/>
                <w:highlight w:val="none"/>
                <w:lang w:val="en-US" w:eastAsia="zh-CN"/>
              </w:rPr>
              <w:t>整改目标</w:t>
            </w:r>
          </w:p>
        </w:tc>
        <w:tc>
          <w:tcPr>
            <w:tcW w:w="7824" w:type="dxa"/>
            <w:tcBorders>
              <w:tl2br w:val="nil"/>
              <w:tr2bl w:val="nil"/>
            </w:tcBorders>
            <w:shd w:val="clear" w:color="auto" w:fill="auto"/>
            <w:noWrap w:val="0"/>
            <w:vAlign w:val="center"/>
          </w:tcPr>
          <w:p w14:paraId="514F681C">
            <w:pPr>
              <w:keepNext w:val="0"/>
              <w:keepLines w:val="0"/>
              <w:pageBreakBefore w:val="0"/>
              <w:widowControl w:val="0"/>
              <w:kinsoku/>
              <w:wordWrap/>
              <w:overflowPunct/>
              <w:topLinePunct w:val="0"/>
              <w:autoSpaceDE/>
              <w:autoSpaceDN/>
              <w:bidi w:val="0"/>
              <w:adjustRightInd/>
              <w:snapToGrid w:val="0"/>
              <w:spacing w:line="400" w:lineRule="atLeast"/>
              <w:ind w:right="0" w:rightChars="0"/>
              <w:jc w:val="both"/>
              <w:textAlignment w:val="auto"/>
              <w:outlineLvl w:val="9"/>
              <w:rPr>
                <w:rFonts w:hint="default" w:ascii="仿宋" w:hAnsi="仿宋" w:eastAsia="仿宋" w:cs="仿宋"/>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到2025年，完成国家下达我省“十四五”单位GDP能耗降低目标任务。</w:t>
            </w:r>
          </w:p>
        </w:tc>
      </w:tr>
      <w:tr w14:paraId="02C0357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34" w:hRule="atLeast"/>
          <w:jc w:val="center"/>
        </w:trPr>
        <w:tc>
          <w:tcPr>
            <w:tcW w:w="1247" w:type="dxa"/>
            <w:tcBorders>
              <w:tl2br w:val="nil"/>
              <w:tr2bl w:val="nil"/>
            </w:tcBorders>
            <w:noWrap w:val="0"/>
            <w:vAlign w:val="center"/>
          </w:tcPr>
          <w:p w14:paraId="19B407F0">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cs="Times New Roman"/>
                <w:color w:val="auto"/>
                <w:highlight w:val="none"/>
                <w:vertAlign w:val="baseline"/>
                <w:lang w:val="en-US" w:eastAsia="zh-CN"/>
              </w:rPr>
            </w:pPr>
            <w:r>
              <w:rPr>
                <w:rFonts w:hint="default" w:ascii="Times New Roman" w:hAnsi="Times New Roman" w:eastAsia="黑体" w:cs="Times New Roman"/>
                <w:color w:val="auto"/>
                <w:sz w:val="24"/>
                <w:szCs w:val="24"/>
                <w:highlight w:val="none"/>
                <w:lang w:val="en-US" w:eastAsia="zh-CN"/>
              </w:rPr>
              <w:t>整改措施及成效</w:t>
            </w:r>
          </w:p>
        </w:tc>
        <w:tc>
          <w:tcPr>
            <w:tcW w:w="7824" w:type="dxa"/>
            <w:tcBorders>
              <w:tl2br w:val="nil"/>
              <w:tr2bl w:val="nil"/>
            </w:tcBorders>
            <w:shd w:val="clear" w:color="auto" w:fill="auto"/>
            <w:noWrap w:val="0"/>
            <w:vAlign w:val="center"/>
          </w:tcPr>
          <w:p w14:paraId="5A32AAC5">
            <w:pPr>
              <w:keepNext w:val="0"/>
              <w:keepLines w:val="0"/>
              <w:pageBreakBefore w:val="0"/>
              <w:widowControl w:val="0"/>
              <w:kinsoku/>
              <w:wordWrap/>
              <w:overflowPunct/>
              <w:topLinePunct w:val="0"/>
              <w:autoSpaceDE/>
              <w:autoSpaceDN/>
              <w:bidi w:val="0"/>
              <w:adjustRightInd/>
              <w:snapToGrid w:val="0"/>
              <w:spacing w:line="400" w:lineRule="atLeast"/>
              <w:ind w:right="0" w:rightChars="0"/>
              <w:jc w:val="both"/>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default" w:ascii="Times New Roman" w:hAnsi="Times New Roman" w:eastAsia="仿宋_GB2312" w:cs="Times New Roman"/>
                <w:i w:val="0"/>
                <w:color w:val="000000"/>
                <w:kern w:val="0"/>
                <w:sz w:val="24"/>
                <w:szCs w:val="24"/>
                <w:highlight w:val="none"/>
                <w:u w:val="none"/>
                <w:lang w:val="en-US" w:eastAsia="zh-CN" w:bidi="ar-SA"/>
              </w:rPr>
              <w:t>省交通运输厅认真落实《肯海省贯彻落实第三轮中央生态环境保护督察报告整改方案》要求，印发实施《青海省交通运输领域绿色低碳发展实施方案》，全力推进交通运输领域绿色低碳发展。制定印发《青海省推动交通运输大规模设备更新行动实施方案》《2025年青海省加力扩围交通运输领域设备更新实施细则》等政策文件，深入实施城市公交车电动化替代更新等交通运输领域大规模设备更新“七大行动”，全省累计受理报废更新车辆8444辆，涉及补贴资金5.27亿元。加强运输结构绿色转型，积极引导绿色低碳出行，全省公交新能源、清洁能源车辆占比99.1%，出租车占比 83.7%。加大低碳交通基础设施建设，建成投运306个高速公路沿线服务区(停车区)充电车位。成功打造我省首个绿电五星级零碳服分区，实现巴扎服务区和临近隧道照明用电自给自足，年减少二氧化碳排放约1881吨。</w:t>
            </w:r>
          </w:p>
        </w:tc>
      </w:tr>
      <w:tr w14:paraId="461C1AC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252" w:hRule="atLeast"/>
          <w:jc w:val="center"/>
        </w:trPr>
        <w:tc>
          <w:tcPr>
            <w:tcW w:w="1247" w:type="dxa"/>
            <w:tcBorders>
              <w:tl2br w:val="nil"/>
              <w:tr2bl w:val="nil"/>
            </w:tcBorders>
            <w:noWrap w:val="0"/>
            <w:vAlign w:val="center"/>
          </w:tcPr>
          <w:p w14:paraId="7750130A">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cs="Times New Roman"/>
                <w:color w:val="auto"/>
                <w:highlight w:val="none"/>
                <w:vertAlign w:val="baseline"/>
                <w:lang w:val="en-US" w:eastAsia="zh-CN"/>
              </w:rPr>
            </w:pPr>
            <w:r>
              <w:rPr>
                <w:rFonts w:hint="default" w:ascii="Times New Roman" w:hAnsi="Times New Roman" w:eastAsia="黑体" w:cs="Times New Roman"/>
                <w:color w:val="auto"/>
                <w:sz w:val="24"/>
                <w:szCs w:val="24"/>
                <w:highlight w:val="none"/>
                <w:lang w:val="en-US" w:eastAsia="zh-CN"/>
              </w:rPr>
              <w:t>整改</w:t>
            </w:r>
            <w:r>
              <w:rPr>
                <w:rFonts w:hint="eastAsia" w:ascii="Times New Roman" w:hAnsi="Times New Roman" w:eastAsia="黑体" w:cs="Times New Roman"/>
                <w:color w:val="auto"/>
                <w:sz w:val="24"/>
                <w:szCs w:val="24"/>
                <w:highlight w:val="none"/>
                <w:lang w:val="en-US" w:eastAsia="zh-CN"/>
              </w:rPr>
              <w:t>完成</w:t>
            </w:r>
            <w:r>
              <w:rPr>
                <w:rFonts w:hint="default" w:ascii="Times New Roman" w:hAnsi="Times New Roman" w:eastAsia="黑体" w:cs="Times New Roman"/>
                <w:color w:val="auto"/>
                <w:sz w:val="24"/>
                <w:szCs w:val="24"/>
                <w:highlight w:val="none"/>
                <w:lang w:val="en-US" w:eastAsia="zh-CN"/>
              </w:rPr>
              <w:t>时间</w:t>
            </w:r>
          </w:p>
        </w:tc>
        <w:tc>
          <w:tcPr>
            <w:tcW w:w="7824" w:type="dxa"/>
            <w:tcBorders>
              <w:tl2br w:val="nil"/>
              <w:tr2bl w:val="nil"/>
            </w:tcBorders>
            <w:shd w:val="clear" w:color="auto" w:fill="auto"/>
            <w:noWrap w:val="0"/>
            <w:vAlign w:val="center"/>
          </w:tcPr>
          <w:p w14:paraId="7BCB62BC">
            <w:pPr>
              <w:keepNext w:val="0"/>
              <w:keepLines w:val="0"/>
              <w:pageBreakBefore w:val="0"/>
              <w:widowControl w:val="0"/>
              <w:kinsoku/>
              <w:wordWrap/>
              <w:overflowPunct/>
              <w:topLinePunct w:val="0"/>
              <w:autoSpaceDE/>
              <w:autoSpaceDN/>
              <w:bidi w:val="0"/>
              <w:adjustRightInd/>
              <w:snapToGrid w:val="0"/>
              <w:spacing w:line="400" w:lineRule="atLeast"/>
              <w:ind w:right="0" w:rightChars="0"/>
              <w:jc w:val="center"/>
              <w:textAlignment w:val="auto"/>
              <w:outlineLvl w:val="9"/>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 xml:space="preserve">   2025年12月</w:t>
            </w:r>
          </w:p>
        </w:tc>
      </w:tr>
      <w:tr w14:paraId="3B34698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849" w:hRule="atLeast"/>
          <w:jc w:val="center"/>
        </w:trPr>
        <w:tc>
          <w:tcPr>
            <w:tcW w:w="1247" w:type="dxa"/>
            <w:tcBorders>
              <w:tl2br w:val="nil"/>
              <w:tr2bl w:val="nil"/>
            </w:tcBorders>
            <w:noWrap w:val="0"/>
            <w:vAlign w:val="center"/>
          </w:tcPr>
          <w:p w14:paraId="40EADD04">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cs="Times New Roman"/>
                <w:color w:val="auto"/>
                <w:highlight w:val="none"/>
                <w:vertAlign w:val="baseline"/>
                <w:lang w:val="en-US" w:eastAsia="zh-CN"/>
              </w:rPr>
            </w:pPr>
            <w:r>
              <w:rPr>
                <w:rFonts w:hint="default" w:ascii="Times New Roman" w:hAnsi="Times New Roman" w:eastAsia="黑体" w:cs="Times New Roman"/>
                <w:color w:val="auto"/>
                <w:sz w:val="24"/>
                <w:szCs w:val="24"/>
                <w:highlight w:val="none"/>
                <w:lang w:val="en-US" w:eastAsia="zh-CN"/>
              </w:rPr>
              <w:t>社会监督</w:t>
            </w:r>
            <w:r>
              <w:rPr>
                <w:rFonts w:hint="eastAsia" w:ascii="Times New Roman" w:hAnsi="Times New Roman" w:eastAsia="黑体" w:cs="Times New Roman"/>
                <w:color w:val="auto"/>
                <w:sz w:val="24"/>
                <w:szCs w:val="24"/>
                <w:highlight w:val="none"/>
                <w:lang w:val="en-US" w:eastAsia="zh-CN"/>
              </w:rPr>
              <w:t>单位及</w:t>
            </w:r>
            <w:r>
              <w:rPr>
                <w:rFonts w:hint="default" w:ascii="Times New Roman" w:hAnsi="Times New Roman" w:eastAsia="黑体" w:cs="Times New Roman"/>
                <w:color w:val="auto"/>
                <w:sz w:val="24"/>
                <w:szCs w:val="24"/>
                <w:highlight w:val="none"/>
                <w:lang w:val="en-US" w:eastAsia="zh-CN"/>
              </w:rPr>
              <w:t>联系电话</w:t>
            </w:r>
          </w:p>
        </w:tc>
        <w:tc>
          <w:tcPr>
            <w:tcW w:w="7824" w:type="dxa"/>
            <w:tcBorders>
              <w:tl2br w:val="nil"/>
              <w:tr2bl w:val="nil"/>
            </w:tcBorders>
            <w:noWrap w:val="0"/>
            <w:vAlign w:val="center"/>
          </w:tcPr>
          <w:p w14:paraId="551F216A">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outlineLvl w:val="9"/>
              <w:rPr>
                <w:rFonts w:hint="eastAsia" w:ascii="仿宋" w:hAnsi="仿宋" w:eastAsia="仿宋" w:cs="仿宋"/>
                <w:color w:val="auto"/>
                <w:kern w:val="44"/>
                <w:sz w:val="24"/>
                <w:szCs w:val="24"/>
                <w:highlight w:val="none"/>
                <w:lang w:val="en-US" w:eastAsia="zh-CN" w:bidi="ar-SA"/>
              </w:rPr>
            </w:pPr>
            <w:r>
              <w:rPr>
                <w:rFonts w:hint="eastAsia" w:ascii="仿宋" w:hAnsi="仿宋" w:eastAsia="仿宋" w:cs="仿宋"/>
                <w:color w:val="auto"/>
                <w:kern w:val="44"/>
                <w:sz w:val="24"/>
                <w:szCs w:val="24"/>
                <w:highlight w:val="none"/>
                <w:lang w:val="en-US" w:eastAsia="zh-CN" w:bidi="ar-SA"/>
              </w:rPr>
              <w:t>青海省生态环境保护督察工作领导小组办公室</w:t>
            </w:r>
          </w:p>
          <w:p w14:paraId="456622D5">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44"/>
                <w:sz w:val="24"/>
                <w:szCs w:val="24"/>
                <w:highlight w:val="none"/>
                <w:lang w:val="en-US" w:eastAsia="zh-CN" w:bidi="ar-SA"/>
              </w:rPr>
              <w:t>电话：0971-8139012</w:t>
            </w:r>
          </w:p>
        </w:tc>
      </w:tr>
    </w:tbl>
    <w:p w14:paraId="6ACDA813">
      <w:pPr>
        <w:pageBreakBefore w:val="0"/>
        <w:widowControl w:val="0"/>
        <w:kinsoku/>
        <w:wordWrap/>
        <w:overflowPunct/>
        <w:topLinePunct w:val="0"/>
        <w:autoSpaceDE/>
        <w:autoSpaceDN/>
        <w:bidi w:val="0"/>
        <w:spacing w:line="560" w:lineRule="exact"/>
        <w:textAlignment w:val="auto"/>
        <w:rPr>
          <w:rFonts w:hint="default"/>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reeSerif">
    <w:altName w:val="Simplified Arabic"/>
    <w:panose1 w:val="02020603050405020304"/>
    <w:charset w:val="00"/>
    <w:family w:val="auto"/>
    <w:pitch w:val="default"/>
    <w:sig w:usb0="00000000" w:usb1="00000000" w:usb2="43501B29" w:usb3="04000043" w:csb0="600101FF" w:csb1="FFFF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implified Arabic">
    <w:panose1 w:val="02020603050405020304"/>
    <w:charset w:val="00"/>
    <w:family w:val="auto"/>
    <w:pitch w:val="default"/>
    <w:sig w:usb0="00002003" w:usb1="00000000" w:usb2="00000000"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1267E"/>
    <w:rsid w:val="20D81670"/>
    <w:rsid w:val="7A712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FreeSerif" w:hAnsi="FreeSerif" w:eastAsia="方正仿宋_GBK" w:cs="Times New Roman"/>
      <w:kern w:val="2"/>
      <w:sz w:val="30"/>
      <w:szCs w:val="24"/>
      <w:lang w:val="en-US" w:eastAsia="zh-CN" w:bidi="ar-SA"/>
    </w:rPr>
  </w:style>
  <w:style w:type="paragraph" w:styleId="2">
    <w:name w:val="heading 1"/>
    <w:basedOn w:val="1"/>
    <w:next w:val="1"/>
    <w:link w:val="6"/>
    <w:qFormat/>
    <w:uiPriority w:val="0"/>
    <w:pPr>
      <w:keepNext/>
      <w:keepLines/>
      <w:jc w:val="center"/>
      <w:outlineLvl w:val="0"/>
    </w:pPr>
    <w:rPr>
      <w:rFonts w:ascii="方正小标宋_GBK" w:hAnsi="Times New Roman" w:eastAsia="方正小标宋_GBK"/>
      <w:kern w:val="44"/>
      <w:sz w:val="36"/>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字符"/>
    <w:basedOn w:val="5"/>
    <w:link w:val="2"/>
    <w:qFormat/>
    <w:uiPriority w:val="0"/>
    <w:rPr>
      <w:rFonts w:ascii="方正小标宋_GBK" w:hAnsi="Times New Roman" w:eastAsia="方正小标宋_GBK"/>
      <w:kern w:val="44"/>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2026-01-15T07:41:00Z</dcterms:created>
  <dc:creator>牛吃草</dc:creator>
  <cp:lastModifiedBy>牛吃草</cp:lastModifiedBy>
  <cp:lastPrinted>2026-01-15T08:33:47Z</cp:lastPrinted>
  <dcterms:modified xsi:type="dcterms:W3CDTF">2026-01-15T08:34:12Z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8CCD1CBA5867492180C3CFF3B8A5AADA_11</vt:lpwstr>
  </property>
  <property fmtid="{D5CDD505-2E9C-101B-9397-08002B2CF9AE}" pid="4" name="KSOTemplateDocerSaveRecord">
    <vt:lpwstr>eyJoZGlkIjoiZTFhMTU1YWQxYTY1NWY1ZTM1MjAxN2Y2NGVmMmY0ODkiLCJ1c2VySWQiOiIyMzI1MDc2OTAifQ==</vt:lpwstr>
  </property>
</Properties>
</file>